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41" w:rsidRPr="00C832EB" w:rsidRDefault="00593F00" w:rsidP="00353F41">
      <w:pPr>
        <w:spacing w:after="0"/>
        <w:ind w:firstLine="567"/>
        <w:jc w:val="right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1"/>
          <w:sz w:val="18"/>
          <w:szCs w:val="18"/>
        </w:rPr>
        <w:t>Приложение № 4</w:t>
      </w:r>
      <w:r w:rsidR="00353F41"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к </w:t>
      </w:r>
      <w:r w:rsidR="00E10879">
        <w:rPr>
          <w:rFonts w:ascii="Times New Roman" w:hAnsi="Times New Roman" w:cs="Times New Roman"/>
          <w:color w:val="000000"/>
          <w:spacing w:val="-1"/>
          <w:sz w:val="18"/>
          <w:szCs w:val="18"/>
        </w:rPr>
        <w:t>договору энергоснабжения</w:t>
      </w:r>
      <w:r w:rsidR="00353F41"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</w:p>
    <w:p w:rsidR="00353F41" w:rsidRPr="00C832EB" w:rsidRDefault="00353F41" w:rsidP="00353F41">
      <w:pPr>
        <w:spacing w:after="0"/>
        <w:ind w:firstLine="567"/>
        <w:jc w:val="right"/>
        <w:rPr>
          <w:rFonts w:ascii="Times New Roman" w:hAnsi="Times New Roman" w:cs="Times New Roman"/>
          <w:color w:val="000000"/>
          <w:spacing w:val="-1"/>
          <w:sz w:val="18"/>
          <w:szCs w:val="18"/>
        </w:rPr>
      </w:pPr>
      <w:r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>от</w:t>
      </w:r>
      <w:r w:rsidR="00C832EB"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«__»_________</w:t>
      </w:r>
      <w:r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="00C832EB" w:rsidRPr="00C832EB">
        <w:rPr>
          <w:rFonts w:ascii="Times New Roman" w:hAnsi="Times New Roman" w:cs="Times New Roman"/>
          <w:color w:val="000000"/>
          <w:spacing w:val="-1"/>
          <w:sz w:val="18"/>
          <w:szCs w:val="18"/>
        </w:rPr>
        <w:t>года №</w:t>
      </w:r>
      <w:r w:rsidR="000B4D12">
        <w:rPr>
          <w:rFonts w:ascii="Times New Roman" w:hAnsi="Times New Roman" w:cs="Times New Roman"/>
          <w:color w:val="000000"/>
          <w:spacing w:val="-1"/>
          <w:sz w:val="18"/>
          <w:szCs w:val="18"/>
        </w:rPr>
        <w:t>________</w:t>
      </w:r>
    </w:p>
    <w:p w:rsidR="00353F41" w:rsidRDefault="00353F41" w:rsidP="00353F4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353F41" w:rsidRPr="00353F41" w:rsidRDefault="00353F41" w:rsidP="00353F41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353F41" w:rsidRDefault="00353F41" w:rsidP="00353F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53F41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Порядок расчета средневзвешенной нерегулируемой цены на электроэнергию (мощность)</w:t>
      </w:r>
    </w:p>
    <w:p w:rsidR="00353F41" w:rsidRPr="00353F41" w:rsidRDefault="00353F41" w:rsidP="00353F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F41" w:rsidRPr="00353F41" w:rsidRDefault="00353F41" w:rsidP="00353F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53F41">
        <w:rPr>
          <w:rFonts w:ascii="Times New Roman" w:hAnsi="Times New Roman" w:cs="Times New Roman"/>
        </w:rPr>
        <w:t>Нерегулируемые цены на электрическую энергию (мощность) рассчитываются Гарантирующим поставщиком для каждого расчетного периода и публикуются в порядке и срок</w:t>
      </w:r>
      <w:r>
        <w:rPr>
          <w:rFonts w:ascii="Times New Roman" w:hAnsi="Times New Roman" w:cs="Times New Roman"/>
        </w:rPr>
        <w:t>ах</w:t>
      </w:r>
      <w:r w:rsidRPr="00353F41">
        <w:rPr>
          <w:rFonts w:ascii="Times New Roman" w:hAnsi="Times New Roman" w:cs="Times New Roman"/>
        </w:rPr>
        <w:t>, установленны</w:t>
      </w:r>
      <w:r>
        <w:rPr>
          <w:rFonts w:ascii="Times New Roman" w:hAnsi="Times New Roman" w:cs="Times New Roman"/>
        </w:rPr>
        <w:t>х</w:t>
      </w:r>
      <w:r w:rsidRPr="00353F41">
        <w:rPr>
          <w:rFonts w:ascii="Times New Roman" w:hAnsi="Times New Roman" w:cs="Times New Roman"/>
        </w:rPr>
        <w:t xml:space="preserve"> действующим законодательством Российской Федерации</w:t>
      </w:r>
      <w:r>
        <w:rPr>
          <w:rFonts w:ascii="Times New Roman" w:hAnsi="Times New Roman" w:cs="Times New Roman"/>
        </w:rPr>
        <w:t>,</w:t>
      </w:r>
      <w:r w:rsidRPr="00353F41">
        <w:rPr>
          <w:rFonts w:ascii="Times New Roman" w:hAnsi="Times New Roman" w:cs="Times New Roman"/>
        </w:rPr>
        <w:t xml:space="preserve"> согласно Постановлени</w:t>
      </w:r>
      <w:r>
        <w:rPr>
          <w:rFonts w:ascii="Times New Roman" w:hAnsi="Times New Roman" w:cs="Times New Roman"/>
        </w:rPr>
        <w:t>ю</w:t>
      </w:r>
      <w:r w:rsidRPr="00353F41">
        <w:rPr>
          <w:rFonts w:ascii="Times New Roman" w:hAnsi="Times New Roman" w:cs="Times New Roman"/>
        </w:rPr>
        <w:t xml:space="preserve"> Правительства РФ от 29 декабря 2011 г. N 1179</w:t>
      </w:r>
      <w:r w:rsidR="000942F8">
        <w:rPr>
          <w:rFonts w:ascii="Times New Roman" w:hAnsi="Times New Roman" w:cs="Times New Roman"/>
        </w:rPr>
        <w:t xml:space="preserve"> </w:t>
      </w:r>
      <w:r w:rsidRPr="00353F41">
        <w:rPr>
          <w:rFonts w:ascii="Times New Roman" w:hAnsi="Times New Roman" w:cs="Times New Roman"/>
        </w:rPr>
        <w:t>"Об определении и применении гарантирующими поставщиками нерегулируемых цен на электрическую энергию (мощность)"</w:t>
      </w:r>
      <w:r w:rsidR="000942F8">
        <w:rPr>
          <w:rFonts w:ascii="Times New Roman" w:hAnsi="Times New Roman" w:cs="Times New Roman"/>
        </w:rPr>
        <w:t xml:space="preserve"> </w:t>
      </w:r>
      <w:r w:rsidRPr="00353F41">
        <w:rPr>
          <w:rFonts w:ascii="Times New Roman" w:hAnsi="Times New Roman" w:cs="Times New Roman"/>
        </w:rPr>
        <w:t xml:space="preserve">на сайте </w:t>
      </w:r>
      <w:hyperlink r:id="rId6" w:history="1">
        <w:r w:rsidR="00DA76E1">
          <w:rPr>
            <w:rStyle w:val="a3"/>
            <w:rFonts w:ascii="Times New Roman" w:hAnsi="Times New Roman" w:cs="Times New Roman"/>
            <w:color w:val="auto"/>
          </w:rPr>
          <w:t>http://zge</w:t>
        </w:r>
        <w:r w:rsidR="00DA76E1">
          <w:rPr>
            <w:rStyle w:val="a3"/>
            <w:rFonts w:ascii="Times New Roman" w:hAnsi="Times New Roman" w:cs="Times New Roman"/>
            <w:color w:val="auto"/>
            <w:lang w:val="en-US"/>
          </w:rPr>
          <w:t>s</w:t>
        </w:r>
        <w:r w:rsidR="00DA76E1" w:rsidRPr="00DA76E1">
          <w:rPr>
            <w:rStyle w:val="a3"/>
            <w:rFonts w:ascii="Times New Roman" w:hAnsi="Times New Roman" w:cs="Times New Roman"/>
            <w:color w:val="auto"/>
          </w:rPr>
          <w:t>22.</w:t>
        </w:r>
        <w:r w:rsidRPr="000942F8">
          <w:rPr>
            <w:rStyle w:val="a3"/>
            <w:rFonts w:ascii="Times New Roman" w:hAnsi="Times New Roman" w:cs="Times New Roman"/>
            <w:color w:val="auto"/>
          </w:rPr>
          <w:t>ru</w:t>
        </w:r>
      </w:hyperlink>
      <w:r w:rsidRPr="00353F41">
        <w:rPr>
          <w:rFonts w:ascii="Times New Roman" w:hAnsi="Times New Roman" w:cs="Times New Roman"/>
        </w:rPr>
        <w:t xml:space="preserve"> в разделе «Юридическ</w:t>
      </w:r>
      <w:r>
        <w:rPr>
          <w:rFonts w:ascii="Times New Roman" w:hAnsi="Times New Roman" w:cs="Times New Roman"/>
        </w:rPr>
        <w:t>им лица</w:t>
      </w:r>
      <w:r w:rsidR="00E32F5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»</w:t>
      </w:r>
      <w:r w:rsidR="00E32F5B">
        <w:rPr>
          <w:rFonts w:ascii="Times New Roman" w:hAnsi="Times New Roman" w:cs="Times New Roman"/>
        </w:rPr>
        <w:t xml:space="preserve"> подразделе </w:t>
      </w:r>
      <w:r>
        <w:rPr>
          <w:rFonts w:ascii="Times New Roman" w:hAnsi="Times New Roman" w:cs="Times New Roman"/>
        </w:rPr>
        <w:t>«Средневзвешенная цена</w:t>
      </w:r>
      <w:r w:rsidRPr="00353F4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353F41" w:rsidRDefault="00353F41" w:rsidP="00AB47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53F41">
        <w:rPr>
          <w:rFonts w:ascii="Times New Roman" w:hAnsi="Times New Roman" w:cs="Times New Roman"/>
          <w:color w:val="000000"/>
          <w:shd w:val="clear" w:color="auto" w:fill="FFFFFF"/>
        </w:rPr>
        <w:t>Средневзвешенная нерегулируемая цена на электрическую энергию (мощность), используемая для расчета предельного уровня нерегулируемых цен для первой ценовой категории за расчетный период (m), рассчитывается гарантирующим поставщиком,</w:t>
      </w:r>
      <w:r w:rsidRPr="00353F4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353F41">
        <w:rPr>
          <w:rFonts w:ascii="Times New Roman" w:hAnsi="Times New Roman" w:cs="Times New Roman"/>
          <w:color w:val="000000"/>
        </w:rPr>
        <w:t>рублей/МВт</w:t>
      </w:r>
    </w:p>
    <w:p w:rsidR="00E32F5B" w:rsidRPr="00353F41" w:rsidRDefault="00E32F5B" w:rsidP="00AB47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353F41" w:rsidRPr="00BF1992" w:rsidRDefault="00AB47B4" w:rsidP="00AB47B4">
      <w:pPr>
        <w:spacing w:line="240" w:lineRule="auto"/>
        <w:jc w:val="center"/>
        <w:rPr>
          <w:rFonts w:ascii="Times New Roman" w:hAnsi="Times New Roman" w:cs="Times New Roman"/>
        </w:rPr>
      </w:pPr>
      <w:r w:rsidRPr="00AB47B4">
        <w:rPr>
          <w:rFonts w:ascii="Times New Roman" w:hAnsi="Times New Roman" w:cs="Times New Roman"/>
          <w:position w:val="-18"/>
        </w:rPr>
        <w:object w:dxaOrig="54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5pt;height:26.35pt" o:ole="">
            <v:imagedata r:id="rId7" o:title=""/>
          </v:shape>
          <o:OLEObject Type="Embed" ProgID="Equation.3" ShapeID="_x0000_i1025" DrawAspect="Content" ObjectID="_1598948836" r:id="rId8"/>
        </w:object>
      </w:r>
      <w:r w:rsidR="00BF1992" w:rsidRPr="00BF1992">
        <w:rPr>
          <w:rFonts w:ascii="Times New Roman" w:hAnsi="Times New Roman" w:cs="Times New Roman"/>
        </w:rPr>
        <w:t>,</w:t>
      </w:r>
    </w:p>
    <w:p w:rsidR="00353F41" w:rsidRPr="00353F41" w:rsidRDefault="00353F41" w:rsidP="00AB47B4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353F41">
        <w:rPr>
          <w:color w:val="000000"/>
          <w:sz w:val="22"/>
          <w:szCs w:val="22"/>
        </w:rPr>
        <w:t>где:</w:t>
      </w:r>
    </w:p>
    <w:p w:rsidR="00353F41" w:rsidRPr="00353F41" w:rsidRDefault="00AB47B4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D09AF">
        <w:rPr>
          <w:position w:val="-18"/>
        </w:rPr>
        <w:object w:dxaOrig="859" w:dyaOrig="520">
          <v:shape id="_x0000_i1026" type="#_x0000_t75" style="width:43pt;height:25.8pt" o:ole="">
            <v:imagedata r:id="rId9" o:title=""/>
          </v:shape>
          <o:OLEObject Type="Embed" ProgID="Equation.3" ShapeID="_x0000_i1026" DrawAspect="Content" ObjectID="_1598948837" r:id="rId10"/>
        </w:object>
      </w:r>
      <w:r w:rsidR="00353F41" w:rsidRPr="00353F41">
        <w:rPr>
          <w:rStyle w:val="apple-converted-space"/>
          <w:color w:val="000000"/>
          <w:sz w:val="22"/>
          <w:szCs w:val="22"/>
        </w:rPr>
        <w:t> </w:t>
      </w:r>
      <w:r w:rsidR="00353F41" w:rsidRPr="00353F41">
        <w:rPr>
          <w:color w:val="000000"/>
          <w:sz w:val="22"/>
          <w:szCs w:val="22"/>
        </w:rPr>
        <w:t>- средневзвешенная нерегулируемая цена на электрическую энергию на оптовом рынке,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(m),руб/МВт∙ч</w:t>
      </w:r>
    </w:p>
    <w:p w:rsidR="00353F41" w:rsidRPr="00353F41" w:rsidRDefault="00AB47B4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D09AF">
        <w:rPr>
          <w:position w:val="-20"/>
        </w:rPr>
        <w:object w:dxaOrig="420" w:dyaOrig="499">
          <v:shape id="_x0000_i1027" type="#_x0000_t75" style="width:20.4pt;height:25.25pt" o:ole="">
            <v:imagedata r:id="rId11" o:title=""/>
          </v:shape>
          <o:OLEObject Type="Embed" ProgID="Equation.3" ShapeID="_x0000_i1027" DrawAspect="Content" ObjectID="_1598948838" r:id="rId12"/>
        </w:object>
      </w:r>
      <w:r w:rsidR="00353F41" w:rsidRPr="00353F41">
        <w:rPr>
          <w:rStyle w:val="apple-converted-space"/>
          <w:color w:val="000000"/>
          <w:sz w:val="22"/>
          <w:szCs w:val="22"/>
        </w:rPr>
        <w:t> </w:t>
      </w:r>
      <w:r w:rsidR="00353F41" w:rsidRPr="00353F41">
        <w:rPr>
          <w:color w:val="000000"/>
          <w:sz w:val="22"/>
          <w:szCs w:val="22"/>
        </w:rPr>
        <w:t>- коэффициент оплаты мощности потребителями (покупателями), осуществляющими расчеты по первой ценовой категории, определяемый гарантирующим поставщиком за расчетный период (m), 1/час;</w:t>
      </w:r>
    </w:p>
    <w:p w:rsidR="00353F41" w:rsidRPr="00353F41" w:rsidRDefault="00AB47B4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AB47B4">
        <w:rPr>
          <w:position w:val="-18"/>
        </w:rPr>
        <w:object w:dxaOrig="920" w:dyaOrig="520">
          <v:shape id="_x0000_i1028" type="#_x0000_t75" style="width:46.2pt;height:25.8pt" o:ole="">
            <v:imagedata r:id="rId13" o:title=""/>
          </v:shape>
          <o:OLEObject Type="Embed" ProgID="Equation.3" ShapeID="_x0000_i1028" DrawAspect="Content" ObjectID="_1598948839" r:id="rId14"/>
        </w:object>
      </w:r>
      <w:r w:rsidR="00353F41" w:rsidRPr="00353F41">
        <w:rPr>
          <w:color w:val="000000"/>
          <w:sz w:val="22"/>
          <w:szCs w:val="22"/>
        </w:rPr>
        <w:t>- средневзвешенная нерегулируемая цена на мощность на оптовом рынке,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(m), рублей/МВт;</w:t>
      </w:r>
    </w:p>
    <w:p w:rsidR="00353F41" w:rsidRPr="00353F41" w:rsidRDefault="00AB47B4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7D09AF">
        <w:rPr>
          <w:position w:val="-18"/>
        </w:rPr>
        <w:object w:dxaOrig="1600" w:dyaOrig="520">
          <v:shape id="_x0000_i1029" type="#_x0000_t75" style="width:80.05pt;height:25.8pt" o:ole="">
            <v:imagedata r:id="rId15" o:title=""/>
          </v:shape>
          <o:OLEObject Type="Embed" ProgID="Equation.3" ShapeID="_x0000_i1029" DrawAspect="Content" ObjectID="_1598948840" r:id="rId16"/>
        </w:object>
      </w:r>
      <w:r w:rsidR="00353F41" w:rsidRPr="00353F41">
        <w:rPr>
          <w:color w:val="000000"/>
          <w:sz w:val="22"/>
          <w:szCs w:val="22"/>
        </w:rPr>
        <w:t>-величина изменения средневзвешенной нерегулируемой цены на электрическую энергию (мощность) за расчетный период (m), используемая в расчете средневзвешенной нерегулируемой цены на электрическую энергию (мощность), связанная с учетом данных за предыдущие расчетные периоды в случаях, предусмотренных Основными положениями функционирования розничных рынков электрической энергии, руб/МВт∙ч</w:t>
      </w:r>
      <w:r w:rsidR="000942F8">
        <w:rPr>
          <w:color w:val="000000"/>
          <w:sz w:val="22"/>
          <w:szCs w:val="22"/>
        </w:rPr>
        <w:t>.</w:t>
      </w:r>
    </w:p>
    <w:p w:rsidR="00353F41" w:rsidRPr="00353F41" w:rsidRDefault="00353F41" w:rsidP="00353F41">
      <w:pPr>
        <w:spacing w:line="240" w:lineRule="auto"/>
        <w:ind w:firstLine="708"/>
        <w:rPr>
          <w:rFonts w:ascii="Times New Roman" w:hAnsi="Times New Roman" w:cs="Times New Roman"/>
        </w:rPr>
      </w:pPr>
      <w:r w:rsidRPr="00353F41">
        <w:rPr>
          <w:rFonts w:ascii="Times New Roman" w:hAnsi="Times New Roman" w:cs="Times New Roman"/>
          <w:color w:val="000000"/>
          <w:shd w:val="clear" w:color="auto" w:fill="FFFFFF"/>
        </w:rPr>
        <w:t> Коэффициент оплаты мощности потребителя</w:t>
      </w:r>
      <w:bookmarkStart w:id="0" w:name="_GoBack"/>
      <w:bookmarkEnd w:id="0"/>
      <w:r w:rsidRPr="00353F41">
        <w:rPr>
          <w:rFonts w:ascii="Times New Roman" w:hAnsi="Times New Roman" w:cs="Times New Roman"/>
          <w:color w:val="000000"/>
          <w:shd w:val="clear" w:color="auto" w:fill="FFFFFF"/>
        </w:rPr>
        <w:t>ми (покупателями), осуществляющими расчеты по первой ценовой категории, определяемый гарантирующим поставщиком по формуле, 1/час:</w:t>
      </w:r>
    </w:p>
    <w:p w:rsidR="00353F41" w:rsidRPr="00AB47B4" w:rsidRDefault="00405A00" w:rsidP="00353F41">
      <w:pPr>
        <w:spacing w:line="240" w:lineRule="auto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ГП,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опт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+ 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ГП,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розн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-(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ГП,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2-6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ЦК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нас_баланс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ГП,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Э, опт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ГП,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Э, розн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-(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Э,  2-6 ЦК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Э, нас_баланс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</m:oMath>
      </m:oMathPara>
    </w:p>
    <w:p w:rsidR="00353F41" w:rsidRPr="00353F41" w:rsidRDefault="00353F41" w:rsidP="00353F41">
      <w:pPr>
        <w:pStyle w:val="s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53F41">
        <w:rPr>
          <w:color w:val="000000"/>
          <w:sz w:val="22"/>
          <w:szCs w:val="22"/>
        </w:rPr>
        <w:t>где: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ГП,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опт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объем фактического пикового потребления гарантирующего поставщика за расчетный период (m) на оптовом рынке, определенный коммерческим оператором, опубликованный на официальных сайтах коммерческого оператора и гарантирующего поставщика в сети Интернет, МВт;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ГП,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розн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величина мощности, соответствующей покупке электрической энергии гарантирующим поставщиком у производителей электрической энергии (мощности) на розничных </w:t>
      </w:r>
      <w:r w:rsidR="00353F41" w:rsidRPr="00353F41">
        <w:rPr>
          <w:color w:val="000000"/>
          <w:sz w:val="22"/>
          <w:szCs w:val="22"/>
        </w:rPr>
        <w:lastRenderedPageBreak/>
        <w:t>рынках в соответствии с Основными положениями функционирования розничных рынков электрической энергии за расчетный период (m), МВт;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ГП,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2-6ЦК</m:t>
            </m:r>
          </m:sup>
        </m:sSubSup>
      </m:oMath>
      <w:r w:rsidR="00353F41" w:rsidRPr="00353F41">
        <w:rPr>
          <w:color w:val="000000"/>
          <w:sz w:val="22"/>
          <w:szCs w:val="22"/>
        </w:rPr>
        <w:t>–сумма величин мощности, оплачиваемой на розничном рынке за расчетный период (m) потребителями (покупателями), осуществляющими расчеты по второй - шестой ценовым категориям, опубликованная на официальном сайте гарантирующего поставщика в сети Интернет, МВт;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нас_баланс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объем потребления мощности в соответствующий расчетный период (m) населением и приравненными к нему категориями потребителей, равный установленным значениям для гарантирующего поставщика в утвержденном сводном прогнозном балансе производства и поставок электрической энергии (мощности) в рамках Единой энергетической системы России по субъектам Российской Федерации для расчетного периода (m), МВт.;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ГП,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Э, опт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фактический объем потребления электрической энергии гарантирующего поставщика за расчетный период (m) на оптовом рынке, определяемый коммерческим оператором и опубликованный на официальных сайтах коммерческого оператора и гарантирующего поставщика в сети Интернет,МВт∙ч;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ГП,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Э, розн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объем покупки электрической энергии гарантирующим поставщиком у производителей электрической энергии (мощности) на розничных рынках в соответствии с Основными положениями функционирования розничных рынков электрической энергии за расчетный период (m),МВт∙ч;</w:t>
      </w:r>
    </w:p>
    <w:p w:rsidR="00353F41" w:rsidRP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Э,  2-6 ЦК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–сумма объемов потребления электрической энергии за расчетный период (m) потребителями (покупателями), осуществляющими расчеты по второй - шестой ценовым категориям, опубликованных на официальном сайте гарантирующего поставщика в сети Интернет,МВт∙ч;</w:t>
      </w:r>
    </w:p>
    <w:p w:rsidR="00353F41" w:rsidRDefault="00405A00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Э, нас_баланс</m:t>
            </m:r>
          </m:sup>
        </m:sSubSup>
      </m:oMath>
      <w:r w:rsidR="00353F41" w:rsidRPr="00353F41">
        <w:rPr>
          <w:color w:val="000000"/>
          <w:sz w:val="22"/>
          <w:szCs w:val="22"/>
        </w:rPr>
        <w:t xml:space="preserve"> – объем потребления электрической энергии населением и приравненными к нему категориями потребителей, равный установленным значениям для гарантирующего поставщика в утвержденном сводном прогнозном балансе производства и поставок электрической энергии (мощности) в рамках Единой энергетической системы России по субъектам Российской Федерации для расчетного периода (m),МВт∙ч.</w:t>
      </w:r>
    </w:p>
    <w:p w:rsidR="00353F41" w:rsidRDefault="00353F41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353F41" w:rsidRDefault="00353F41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353F41" w:rsidRDefault="00353F41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4A6D43" w:rsidRDefault="004A6D43" w:rsidP="004A6D43">
      <w:pPr>
        <w:pStyle w:val="s1"/>
        <w:tabs>
          <w:tab w:val="left" w:pos="5940"/>
        </w:tabs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4A6D43" w:rsidRDefault="004A6D43" w:rsidP="004A6D43"/>
    <w:p w:rsidR="004A6D43" w:rsidRPr="004A6D43" w:rsidRDefault="004A6D43" w:rsidP="004A6D43">
      <w:pPr>
        <w:sectPr w:rsidR="004A6D43" w:rsidRPr="004A6D43" w:rsidSect="00353F41">
          <w:footerReference w:type="default" r:id="rId17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4A6D43" w:rsidRPr="004A6D43" w:rsidRDefault="00353F41" w:rsidP="004A6D43">
      <w:pPr>
        <w:pStyle w:val="s1"/>
        <w:spacing w:before="0" w:beforeAutospacing="0" w:after="0" w:afterAutospacing="0"/>
        <w:jc w:val="both"/>
        <w:rPr>
          <w:color w:val="000000"/>
        </w:rPr>
      </w:pPr>
      <w:r w:rsidRPr="004A6D43">
        <w:rPr>
          <w:color w:val="000000"/>
        </w:rPr>
        <w:lastRenderedPageBreak/>
        <w:t xml:space="preserve">Гарантирующий поставщик            </w:t>
      </w:r>
      <w:r w:rsidR="004A6D43" w:rsidRPr="004A6D43">
        <w:rPr>
          <w:color w:val="000000"/>
        </w:rPr>
        <w:t xml:space="preserve">                             </w:t>
      </w:r>
      <w:r w:rsidR="0017008C">
        <w:rPr>
          <w:color w:val="000000"/>
        </w:rPr>
        <w:t>Потребитель</w:t>
      </w:r>
    </w:p>
    <w:p w:rsidR="004A6D43" w:rsidRDefault="004A6D43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EA769F" w:rsidRDefault="00EA769F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EA769F" w:rsidRDefault="00EA769F" w:rsidP="00353F41">
      <w:pPr>
        <w:pStyle w:val="s1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:rsidR="00353F41" w:rsidRPr="00353F41" w:rsidRDefault="004A6D43" w:rsidP="004A6D43">
      <w:pPr>
        <w:pStyle w:val="s1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__________________/</w:t>
      </w:r>
      <w:r w:rsidR="0077763F">
        <w:rPr>
          <w:color w:val="000000"/>
          <w:sz w:val="22"/>
          <w:szCs w:val="22"/>
        </w:rPr>
        <w:t>В.Э.Вагенлейтер</w:t>
      </w:r>
      <w:r>
        <w:rPr>
          <w:color w:val="000000"/>
          <w:sz w:val="22"/>
          <w:szCs w:val="22"/>
        </w:rPr>
        <w:t xml:space="preserve">                              ____________________/</w:t>
      </w:r>
      <w:r w:rsidR="000B4D12">
        <w:rPr>
          <w:color w:val="000000"/>
          <w:sz w:val="22"/>
          <w:szCs w:val="22"/>
        </w:rPr>
        <w:t>_____________</w:t>
      </w:r>
    </w:p>
    <w:p w:rsidR="00353F41" w:rsidRPr="00353F41" w:rsidRDefault="004A6D43" w:rsidP="00353F4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м.п.                                                                                         м.п.</w:t>
      </w:r>
    </w:p>
    <w:sectPr w:rsidR="00353F41" w:rsidRPr="00353F41" w:rsidSect="004A6D43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625" w:rsidRDefault="007E7625" w:rsidP="00EA769F">
      <w:pPr>
        <w:spacing w:after="0" w:line="240" w:lineRule="auto"/>
      </w:pPr>
      <w:r>
        <w:separator/>
      </w:r>
    </w:p>
  </w:endnote>
  <w:endnote w:type="continuationSeparator" w:id="1">
    <w:p w:rsidR="007E7625" w:rsidRDefault="007E7625" w:rsidP="00EA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49294"/>
      <w:docPartObj>
        <w:docPartGallery w:val="Page Numbers (Bottom of Page)"/>
        <w:docPartUnique/>
      </w:docPartObj>
    </w:sdtPr>
    <w:sdtContent>
      <w:p w:rsidR="00EA769F" w:rsidRDefault="00405A00">
        <w:pPr>
          <w:pStyle w:val="a9"/>
          <w:jc w:val="right"/>
        </w:pPr>
        <w:fldSimple w:instr=" PAGE   \* MERGEFORMAT ">
          <w:r w:rsidR="000B4D12">
            <w:rPr>
              <w:noProof/>
            </w:rPr>
            <w:t>2</w:t>
          </w:r>
        </w:fldSimple>
      </w:p>
    </w:sdtContent>
  </w:sdt>
  <w:p w:rsidR="00EA769F" w:rsidRDefault="00EA769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625" w:rsidRDefault="007E7625" w:rsidP="00EA769F">
      <w:pPr>
        <w:spacing w:after="0" w:line="240" w:lineRule="auto"/>
      </w:pPr>
      <w:r>
        <w:separator/>
      </w:r>
    </w:p>
  </w:footnote>
  <w:footnote w:type="continuationSeparator" w:id="1">
    <w:p w:rsidR="007E7625" w:rsidRDefault="007E7625" w:rsidP="00EA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3F41"/>
    <w:rsid w:val="00047D42"/>
    <w:rsid w:val="0006791E"/>
    <w:rsid w:val="00086A8E"/>
    <w:rsid w:val="000942F8"/>
    <w:rsid w:val="000A3293"/>
    <w:rsid w:val="000B4D12"/>
    <w:rsid w:val="00121198"/>
    <w:rsid w:val="0017008C"/>
    <w:rsid w:val="001C47B7"/>
    <w:rsid w:val="00201559"/>
    <w:rsid w:val="00333CF9"/>
    <w:rsid w:val="00353F41"/>
    <w:rsid w:val="00354E91"/>
    <w:rsid w:val="00394879"/>
    <w:rsid w:val="003D255E"/>
    <w:rsid w:val="00402ED4"/>
    <w:rsid w:val="00405A00"/>
    <w:rsid w:val="0042686C"/>
    <w:rsid w:val="0045311D"/>
    <w:rsid w:val="004A6D43"/>
    <w:rsid w:val="00511689"/>
    <w:rsid w:val="00547999"/>
    <w:rsid w:val="00557A78"/>
    <w:rsid w:val="00593F00"/>
    <w:rsid w:val="005F2FE2"/>
    <w:rsid w:val="00632E24"/>
    <w:rsid w:val="00695F92"/>
    <w:rsid w:val="0072707E"/>
    <w:rsid w:val="0077763F"/>
    <w:rsid w:val="007B2EA3"/>
    <w:rsid w:val="007B6010"/>
    <w:rsid w:val="007D353A"/>
    <w:rsid w:val="007E2D3C"/>
    <w:rsid w:val="007E40AD"/>
    <w:rsid w:val="007E7625"/>
    <w:rsid w:val="00812F35"/>
    <w:rsid w:val="00813CCD"/>
    <w:rsid w:val="008C0E3C"/>
    <w:rsid w:val="008F5133"/>
    <w:rsid w:val="00902070"/>
    <w:rsid w:val="009A6C71"/>
    <w:rsid w:val="00A17E1B"/>
    <w:rsid w:val="00AB47B4"/>
    <w:rsid w:val="00AF66E5"/>
    <w:rsid w:val="00B160DE"/>
    <w:rsid w:val="00B26477"/>
    <w:rsid w:val="00B43368"/>
    <w:rsid w:val="00BA044A"/>
    <w:rsid w:val="00BE14D1"/>
    <w:rsid w:val="00BF1992"/>
    <w:rsid w:val="00BF6B03"/>
    <w:rsid w:val="00C03B88"/>
    <w:rsid w:val="00C33948"/>
    <w:rsid w:val="00C77ADD"/>
    <w:rsid w:val="00C832EB"/>
    <w:rsid w:val="00D41B78"/>
    <w:rsid w:val="00D62207"/>
    <w:rsid w:val="00D663FD"/>
    <w:rsid w:val="00D670DC"/>
    <w:rsid w:val="00DA76E1"/>
    <w:rsid w:val="00DE0728"/>
    <w:rsid w:val="00DF42D2"/>
    <w:rsid w:val="00E10879"/>
    <w:rsid w:val="00E273C4"/>
    <w:rsid w:val="00E32F5B"/>
    <w:rsid w:val="00E33A3A"/>
    <w:rsid w:val="00E75E03"/>
    <w:rsid w:val="00E83561"/>
    <w:rsid w:val="00E93178"/>
    <w:rsid w:val="00EA769F"/>
    <w:rsid w:val="00EB6804"/>
    <w:rsid w:val="00EF1788"/>
    <w:rsid w:val="00F40AA8"/>
    <w:rsid w:val="00F46C0D"/>
    <w:rsid w:val="00F82820"/>
    <w:rsid w:val="00F8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5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3F41"/>
  </w:style>
  <w:style w:type="character" w:styleId="a3">
    <w:name w:val="Hyperlink"/>
    <w:basedOn w:val="a0"/>
    <w:uiPriority w:val="99"/>
    <w:semiHidden/>
    <w:unhideWhenUsed/>
    <w:rsid w:val="00353F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3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F41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B47B4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EA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769F"/>
  </w:style>
  <w:style w:type="paragraph" w:styleId="a9">
    <w:name w:val="footer"/>
    <w:basedOn w:val="a"/>
    <w:link w:val="aa"/>
    <w:uiPriority w:val="99"/>
    <w:unhideWhenUsed/>
    <w:rsid w:val="00EA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7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5.bin"/><Relationship Id="rId1" Type="http://schemas.openxmlformats.org/officeDocument/2006/relationships/styles" Target="styles.xml"/><Relationship Id="rId6" Type="http://schemas.openxmlformats.org/officeDocument/2006/relationships/hyperlink" Target="http://zges.altai.ru/" TargetMode="External"/><Relationship Id="rId11" Type="http://schemas.openxmlformats.org/officeDocument/2006/relationships/image" Target="media/image3.wmf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</dc:creator>
  <cp:keywords/>
  <dc:description/>
  <cp:lastModifiedBy>sk</cp:lastModifiedBy>
  <cp:revision>43</cp:revision>
  <cp:lastPrinted>2016-08-31T08:31:00Z</cp:lastPrinted>
  <dcterms:created xsi:type="dcterms:W3CDTF">2013-11-18T08:46:00Z</dcterms:created>
  <dcterms:modified xsi:type="dcterms:W3CDTF">2018-09-20T04:40:00Z</dcterms:modified>
</cp:coreProperties>
</file>